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44"/>
        </w:rPr>
        <w:t>附件1</w:t>
      </w:r>
    </w:p>
    <w:p>
      <w:pPr>
        <w:spacing w:line="360" w:lineRule="auto"/>
        <w:jc w:val="center"/>
        <w:rPr>
          <w:rFonts w:eastAsia="方正小标宋简体"/>
          <w:kern w:val="44"/>
          <w:sz w:val="44"/>
        </w:rPr>
      </w:pPr>
      <w:r>
        <w:rPr>
          <w:rFonts w:eastAsia="方正小标宋简体"/>
          <w:kern w:val="44"/>
          <w:sz w:val="44"/>
        </w:rPr>
        <w:t>郑州商品交易所</w:t>
      </w:r>
      <w:r>
        <w:rPr>
          <w:rFonts w:hint="eastAsia" w:eastAsia="方正小标宋简体"/>
          <w:kern w:val="44"/>
          <w:sz w:val="44"/>
        </w:rPr>
        <w:t>平板玻璃</w:t>
      </w:r>
      <w:r>
        <w:rPr>
          <w:rFonts w:eastAsia="方正小标宋简体"/>
          <w:kern w:val="44"/>
          <w:sz w:val="44"/>
        </w:rPr>
        <w:t>期货</w:t>
      </w:r>
      <w:r>
        <w:rPr>
          <w:rFonts w:hint="eastAsia" w:eastAsia="方正小标宋简体"/>
          <w:kern w:val="44"/>
          <w:sz w:val="44"/>
        </w:rPr>
        <w:t>业务</w:t>
      </w:r>
      <w:r>
        <w:rPr>
          <w:rFonts w:eastAsia="方正小标宋简体"/>
          <w:kern w:val="44"/>
          <w:sz w:val="44"/>
        </w:rPr>
        <w:t>细则</w:t>
      </w:r>
    </w:p>
    <w:p>
      <w:pPr>
        <w:keepNext/>
        <w:keepLines/>
        <w:spacing w:line="360" w:lineRule="auto"/>
        <w:jc w:val="center"/>
        <w:outlineLvl w:val="0"/>
        <w:rPr>
          <w:rFonts w:eastAsia="方正小标宋简体"/>
          <w:kern w:val="44"/>
          <w:sz w:val="44"/>
        </w:rPr>
      </w:pPr>
      <w:r>
        <w:rPr>
          <w:rFonts w:eastAsia="方正小标宋简体"/>
          <w:kern w:val="44"/>
          <w:sz w:val="44"/>
        </w:rPr>
        <w:t>修订案</w:t>
      </w:r>
    </w:p>
    <w:p>
      <w:pPr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2023年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14</w:t>
      </w:r>
      <w:r>
        <w:rPr>
          <w:rFonts w:hint="eastAsia" w:ascii="楷体" w:hAnsi="楷体" w:eastAsia="楷体" w:cs="楷体"/>
          <w:sz w:val="28"/>
          <w:szCs w:val="28"/>
        </w:rPr>
        <w:t>日郑州商品交易所第八届理事会第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九</w:t>
      </w:r>
      <w:r>
        <w:rPr>
          <w:rFonts w:hint="eastAsia" w:ascii="楷体" w:hAnsi="楷体" w:eastAsia="楷体" w:cs="楷体"/>
          <w:sz w:val="28"/>
          <w:szCs w:val="28"/>
        </w:rPr>
        <w:t>次会议审议通过，自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玻璃期货2502合约起施行</w:t>
      </w:r>
      <w:r>
        <w:rPr>
          <w:rFonts w:hint="eastAsia" w:ascii="楷体" w:hAnsi="楷体" w:eastAsia="楷体" w:cs="楷体"/>
          <w:kern w:val="0"/>
          <w:sz w:val="28"/>
          <w:szCs w:val="28"/>
        </w:rPr>
        <w:t>）</w:t>
      </w:r>
    </w:p>
    <w:p>
      <w:pPr>
        <w:spacing w:line="360" w:lineRule="auto"/>
        <w:ind w:firstLine="640" w:firstLineChars="200"/>
        <w:rPr>
          <w:rFonts w:eastAsia="仿宋"/>
          <w:sz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对《郑州商品交易所平板玻璃</w:t>
      </w:r>
      <w:r>
        <w:rPr>
          <w:rFonts w:hint="eastAsia" w:ascii="仿宋" w:hAnsi="仿宋" w:eastAsia="仿宋" w:cs="仿宋"/>
          <w:sz w:val="32"/>
        </w:rPr>
        <w:t>期货业务</w:t>
      </w:r>
      <w:r>
        <w:rPr>
          <w:rFonts w:hint="eastAsia" w:ascii="仿宋" w:hAnsi="仿宋" w:eastAsia="仿宋" w:cs="仿宋"/>
          <w:kern w:val="0"/>
          <w:sz w:val="32"/>
          <w:szCs w:val="32"/>
        </w:rPr>
        <w:t>细则》作如下修订：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一、将第二十三条修改为：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“基准交割品：符合《中华人民共和国国家标准 平板玻璃》（GB 11614-2022）（以下简称《玻璃国标》）的5mm普通级无色透明平板玻璃，规格为3.66m×2.44m。”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二、将第二十四条修改为：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“替代交割品及升贴水：符合《玻璃国标》规定的6mm普通级无色透明平板玻璃，规格为3.66m×2.44m，无升贴水。”</w:t>
      </w:r>
    </w:p>
    <w:p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</w:p>
    <w:p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郑州商品交易所平板玻璃期货业务细则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》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修订条款对照表</w:t>
      </w:r>
    </w:p>
    <w:p>
      <w:pPr>
        <w:spacing w:line="360" w:lineRule="auto"/>
        <w:jc w:val="center"/>
        <w:rPr>
          <w:rFonts w:hAnsi="楷体" w:eastAsia="楷体"/>
          <w:sz w:val="28"/>
          <w:szCs w:val="28"/>
        </w:rPr>
      </w:pPr>
      <w:r>
        <w:rPr>
          <w:rFonts w:hAnsi="楷体" w:eastAsia="楷体"/>
          <w:sz w:val="28"/>
          <w:szCs w:val="28"/>
        </w:rPr>
        <w:t>（删除线</w:t>
      </w:r>
      <w:r>
        <w:rPr>
          <w:rFonts w:hint="eastAsia" w:hAnsi="楷体" w:eastAsia="楷体"/>
          <w:sz w:val="28"/>
          <w:szCs w:val="28"/>
        </w:rPr>
        <w:t>部分</w:t>
      </w:r>
      <w:r>
        <w:rPr>
          <w:rFonts w:hAnsi="楷体" w:eastAsia="楷体"/>
          <w:sz w:val="28"/>
          <w:szCs w:val="28"/>
        </w:rPr>
        <w:t>为删除</w:t>
      </w:r>
      <w:r>
        <w:rPr>
          <w:rFonts w:hint="eastAsia" w:hAnsi="楷体" w:eastAsia="楷体"/>
          <w:sz w:val="28"/>
          <w:szCs w:val="28"/>
        </w:rPr>
        <w:t>，</w:t>
      </w:r>
      <w:r>
        <w:rPr>
          <w:rFonts w:hAnsi="楷体" w:eastAsia="楷体"/>
          <w:sz w:val="28"/>
          <w:szCs w:val="28"/>
        </w:rPr>
        <w:t>下划线加粗</w:t>
      </w:r>
      <w:r>
        <w:rPr>
          <w:rFonts w:hint="eastAsia" w:hAnsi="楷体" w:eastAsia="楷体"/>
          <w:sz w:val="28"/>
          <w:szCs w:val="28"/>
        </w:rPr>
        <w:t>部分</w:t>
      </w:r>
      <w:r>
        <w:rPr>
          <w:rFonts w:hAnsi="楷体" w:eastAsia="楷体"/>
          <w:sz w:val="28"/>
          <w:szCs w:val="28"/>
        </w:rPr>
        <w:t>为</w:t>
      </w:r>
      <w:r>
        <w:rPr>
          <w:rFonts w:hint="eastAsia" w:hAnsi="楷体" w:eastAsia="楷体"/>
          <w:sz w:val="28"/>
          <w:szCs w:val="28"/>
        </w:rPr>
        <w:t>修改增加</w:t>
      </w:r>
      <w:r>
        <w:rPr>
          <w:rFonts w:hAnsi="楷体" w:eastAsia="楷体"/>
          <w:sz w:val="28"/>
          <w:szCs w:val="28"/>
        </w:rPr>
        <w:t>）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4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BEBEBE"/>
            <w:noWrap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现行条文</w:t>
            </w:r>
          </w:p>
        </w:tc>
        <w:tc>
          <w:tcPr>
            <w:tcW w:w="2500" w:type="pct"/>
            <w:shd w:val="clear" w:color="auto" w:fill="BEBEBE"/>
            <w:noWrap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修订后条文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noWrap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第二十三条 基准交割品：符合《中华人民共和国国家标准 平板玻璃》（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GB 11614-2009）</w:t>
            </w:r>
            <w:r>
              <w:rPr>
                <w:rFonts w:eastAsia="仿宋"/>
                <w:color w:val="000000"/>
                <w:sz w:val="24"/>
              </w:rPr>
              <w:t>（以下简称《玻璃国标》）的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5mm无色透明平板玻璃一等品，规格为3.66m×2.44m。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color w:val="000000"/>
                <w:sz w:val="24"/>
              </w:rPr>
              <w:t>第二十四条 替代交割品及升贴水：符合《玻璃国标》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规定的6mm无色透明平板玻璃一等品，规格为3.66m×2.44m，无升贴水。</w:t>
            </w:r>
          </w:p>
        </w:tc>
        <w:tc>
          <w:tcPr>
            <w:tcW w:w="2500" w:type="pct"/>
            <w:noWrap/>
            <w:vAlign w:val="top"/>
          </w:tcPr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第二十三条 基准交割品：符合《中华人民共和国国家标准 平板玻璃》</w:t>
            </w:r>
            <w:r>
              <w:rPr>
                <w:rFonts w:hint="eastAsia" w:ascii="仿宋" w:hAnsi="仿宋" w:eastAsia="仿宋" w:cs="仿宋"/>
                <w:sz w:val="24"/>
              </w:rPr>
              <w:t>（GB 11614-</w:t>
            </w:r>
            <w:r>
              <w:rPr>
                <w:rFonts w:hint="eastAsia" w:ascii="仿宋" w:hAnsi="仿宋" w:eastAsia="仿宋" w:cs="仿宋"/>
                <w:strike/>
                <w:sz w:val="24"/>
              </w:rPr>
              <w:t>2009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2022</w:t>
            </w:r>
            <w:r>
              <w:rPr>
                <w:rFonts w:hint="eastAsia" w:ascii="仿宋" w:hAnsi="仿宋" w:eastAsia="仿宋" w:cs="仿宋"/>
                <w:sz w:val="24"/>
              </w:rPr>
              <w:t>）（以</w:t>
            </w:r>
            <w:r>
              <w:rPr>
                <w:rFonts w:eastAsia="仿宋"/>
                <w:sz w:val="24"/>
              </w:rPr>
              <w:t>下简称《玻璃国标》）</w:t>
            </w:r>
            <w:r>
              <w:rPr>
                <w:rFonts w:hint="eastAsia" w:ascii="仿宋" w:hAnsi="仿宋" w:eastAsia="仿宋" w:cs="仿宋"/>
                <w:sz w:val="24"/>
              </w:rPr>
              <w:t>的5mm</w:t>
            </w:r>
            <w:r>
              <w:rPr>
                <w:rFonts w:eastAsia="仿宋"/>
                <w:b/>
                <w:bCs/>
                <w:sz w:val="24"/>
                <w:u w:val="single"/>
              </w:rPr>
              <w:t>普通级</w:t>
            </w:r>
            <w:r>
              <w:rPr>
                <w:rFonts w:eastAsia="仿宋"/>
                <w:sz w:val="24"/>
              </w:rPr>
              <w:t>无色透明平板玻璃</w:t>
            </w:r>
            <w:r>
              <w:rPr>
                <w:rFonts w:eastAsia="仿宋"/>
                <w:strike/>
                <w:sz w:val="24"/>
              </w:rPr>
              <w:t>一等品</w:t>
            </w:r>
            <w:r>
              <w:rPr>
                <w:rFonts w:eastAsia="仿宋"/>
                <w:sz w:val="24"/>
              </w:rPr>
              <w:t>，规格为</w:t>
            </w:r>
            <w:r>
              <w:rPr>
                <w:rFonts w:hint="eastAsia" w:ascii="仿宋" w:hAnsi="仿宋" w:eastAsia="仿宋" w:cs="仿宋"/>
                <w:sz w:val="24"/>
              </w:rPr>
              <w:t>3.66m×2.44m。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第二十四条 替代交割品及升贴水：符合《玻璃国标》规定</w:t>
            </w:r>
            <w:r>
              <w:rPr>
                <w:rFonts w:hint="eastAsia" w:ascii="仿宋" w:hAnsi="仿宋" w:eastAsia="仿宋" w:cs="仿宋"/>
                <w:sz w:val="24"/>
              </w:rPr>
              <w:t>的6mm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普</w:t>
            </w:r>
            <w:r>
              <w:rPr>
                <w:rFonts w:eastAsia="仿宋"/>
                <w:b/>
                <w:bCs/>
                <w:sz w:val="24"/>
                <w:u w:val="single"/>
              </w:rPr>
              <w:t>通级</w:t>
            </w:r>
            <w:r>
              <w:rPr>
                <w:rFonts w:eastAsia="仿宋"/>
                <w:sz w:val="24"/>
              </w:rPr>
              <w:t>无色透明平板玻璃</w:t>
            </w:r>
            <w:r>
              <w:rPr>
                <w:rFonts w:eastAsia="仿宋"/>
                <w:strike/>
                <w:sz w:val="24"/>
              </w:rPr>
              <w:t>一等品</w:t>
            </w:r>
            <w:r>
              <w:rPr>
                <w:rFonts w:eastAsia="仿宋"/>
                <w:sz w:val="24"/>
              </w:rPr>
              <w:t>，规格为</w:t>
            </w:r>
            <w:r>
              <w:rPr>
                <w:rFonts w:hint="eastAsia" w:ascii="仿宋" w:hAnsi="仿宋" w:eastAsia="仿宋" w:cs="仿宋"/>
                <w:sz w:val="24"/>
              </w:rPr>
              <w:t>3.66m×2.44m</w:t>
            </w:r>
            <w:r>
              <w:rPr>
                <w:rFonts w:eastAsia="仿宋"/>
                <w:sz w:val="24"/>
              </w:rPr>
              <w:t>，无升贴水。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8"/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 PAGE </w:instrText>
                </w:r>
                <w:r>
                  <w:rPr>
                    <w:rStyle w:val="8"/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rStyle w:val="8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7E7321F"/>
    <w:rsid w:val="1B6F72BF"/>
    <w:rsid w:val="34900165"/>
    <w:rsid w:val="3BFBF89A"/>
    <w:rsid w:val="3EFEFF72"/>
    <w:rsid w:val="57833478"/>
    <w:rsid w:val="5F7A60E1"/>
    <w:rsid w:val="69CC6672"/>
    <w:rsid w:val="78031D0F"/>
    <w:rsid w:val="7DFCD712"/>
    <w:rsid w:val="7FE36AD6"/>
    <w:rsid w:val="8DDF03E9"/>
    <w:rsid w:val="97FE9840"/>
    <w:rsid w:val="BFFE80EB"/>
    <w:rsid w:val="DDEF7023"/>
    <w:rsid w:val="EA4C1AC9"/>
    <w:rsid w:val="EEFE57EF"/>
    <w:rsid w:val="F3DE4951"/>
    <w:rsid w:val="F5F61D07"/>
    <w:rsid w:val="F5FF1EB1"/>
    <w:rsid w:val="F7FD0B0E"/>
    <w:rsid w:val="FFFE1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2019-09-16T06:10:00Z</dcterms:created>
  <dc:creator>CN=李小鹏/OU=办公室/O=CZCE</dc:creator>
  <cp:lastModifiedBy>邢艳艳</cp:lastModifiedBy>
  <dcterms:modified xsi:type="dcterms:W3CDTF">2024-01-08T14:13:57Z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68DF87B5298447718ABF74BC182A0739</vt:lpwstr>
  </property>
</Properties>
</file>